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17AF">
      <w:pPr>
        <w:spacing w:after="0" w:line="240" w:lineRule="auto"/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14:ligatures w14:val="none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14:ligatures w14:val="none"/>
        </w:rPr>
        <w:t>南京中医药大学正源国医馆季光奖学金评定细则</w:t>
      </w:r>
    </w:p>
    <w:p w14:paraId="13DB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14:ligatures w14:val="none"/>
        </w:rPr>
      </w:pPr>
    </w:p>
    <w:p w14:paraId="7E09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0" w:lineRule="exact"/>
        <w:ind w:firstLine="480" w:firstLineChars="200"/>
        <w:jc w:val="both"/>
        <w:textAlignment w:val="auto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南京中医药大学季光教授热爱祖国、热爱中医药教育事业，特在我校设立“正源国医馆季光奖学金”，旨在激励我校学术成绩优异、专业实践突出、积极参与社会服务业，具有良好道德品质和身体素质的学生，刻苦学习，弘扬祖国传统文化，传承祖国传统医学。具体评定细则如下：</w:t>
      </w:r>
    </w:p>
    <w:p w14:paraId="18C7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0" w:lineRule="exact"/>
        <w:ind w:firstLine="482" w:firstLineChars="200"/>
        <w:jc w:val="both"/>
        <w:textAlignment w:val="auto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一、奖励对象</w:t>
      </w:r>
    </w:p>
    <w:p w14:paraId="0937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0" w:lineRule="exact"/>
        <w:ind w:firstLine="480" w:firstLineChars="200"/>
        <w:jc w:val="both"/>
        <w:textAlignment w:val="auto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南京中医药大学在籍的品学兼优的全日制本科三、四年级学生。</w:t>
      </w:r>
    </w:p>
    <w:p w14:paraId="391AEA16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二、奖励名额及标准</w:t>
      </w:r>
    </w:p>
    <w:p w14:paraId="5893334B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每年资助 10名学生，资助金额为每人每年 7000元人民币，其中中医学专业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  <w14:ligatures w14:val="none"/>
        </w:rPr>
        <w:t>（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不包含农村订单定向和带方向的专业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  <w14:ligatures w14:val="none"/>
        </w:rPr>
        <w:t>）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5人，中西医临床医学专业 2人，中药学专业 3人。</w:t>
      </w:r>
    </w:p>
    <w:p w14:paraId="7956BC31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三、申请条件</w:t>
      </w:r>
    </w:p>
    <w:p w14:paraId="0F7E8C41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1.热爱祖国，拥护中国共产党的领导；</w:t>
      </w:r>
    </w:p>
    <w:p w14:paraId="04D7552F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2.遵守宪法和法律，遵守学校规章制度；</w:t>
      </w:r>
    </w:p>
    <w:p w14:paraId="53EBAF0F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3.综合素质高，热心班级事务和公益活动；</w:t>
      </w:r>
    </w:p>
    <w:p w14:paraId="13A7BB21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4.诚实守信，学习刻苦，专业成绩优秀，首考无挂科，一年必修课学习成绩平均绩点不低于 3.5，排名进入专业前 10%；</w:t>
      </w:r>
    </w:p>
    <w:p w14:paraId="24C28AF3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5.有体育课的年级体育成绩为合格，并同时达到《学生体质健康标准》良好等级，无体育课年级的同学须达到《学生体质健康标准》良好等级；</w:t>
      </w:r>
    </w:p>
    <w:p w14:paraId="48F26205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6.同等条件下评定学院有1名家庭经济困难学生优先名额。</w:t>
      </w:r>
    </w:p>
    <w:p w14:paraId="15A728CB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四、评选时间及程序</w:t>
      </w:r>
    </w:p>
    <w:p w14:paraId="48D4B875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1.评选时间：每年 3月-4月。</w:t>
      </w:r>
    </w:p>
    <w:p w14:paraId="23B529A3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2.评选程序</w:t>
      </w:r>
    </w:p>
    <w:p w14:paraId="780B107A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（1）学生本人提出书面申请，经班级评议推荐、学院初审，合格者院内公示三天；</w:t>
      </w:r>
    </w:p>
    <w:p w14:paraId="5B841659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（2）初审合格者填写《南京中医药大学正源国医馆季光奖学金申请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审批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表》，由所在学院签署意见后送学生工作处，学生工作处汇总报学校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学生资助工作领导小组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评审；</w:t>
      </w:r>
    </w:p>
    <w:p w14:paraId="755A4240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（3）学生工作处将校级评审出的名单在全校范围公示五天；</w:t>
      </w:r>
    </w:p>
    <w:p w14:paraId="22AC7D00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（4）将公示无异议的名单及材料报南京中医药大学教育发展基金会审核。</w:t>
      </w:r>
    </w:p>
    <w:p w14:paraId="6EE1FEE5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五、监督</w:t>
      </w:r>
    </w:p>
    <w:p w14:paraId="6EFC960B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学校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学生资助工作领导小组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将对受奖励学生的家庭经济状况进行随机抽查，对弄虚作假者，除全额退还奖学金外，还将依照《南京中医药大学学生违纪处分实施细则（试行）》的有关规定给予相应的纪律处分。</w:t>
      </w:r>
    </w:p>
    <w:p w14:paraId="6B1511C4">
      <w:pPr>
        <w:spacing w:after="0" w:line="410" w:lineRule="exact"/>
        <w:ind w:firstLine="482" w:firstLineChars="200"/>
        <w:jc w:val="both"/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14:ligatures w14:val="none"/>
        </w:rPr>
        <w:t>六、附则</w:t>
      </w:r>
    </w:p>
    <w:p w14:paraId="22576A17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（1）本评选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  <w14:ligatures w14:val="none"/>
        </w:rPr>
        <w:t>细则</w:t>
      </w:r>
      <w:r>
        <w:rPr>
          <w:rFonts w:hint="default" w:ascii="仿宋" w:hAnsi="仿宋" w:eastAsia="仿宋"/>
          <w:b w:val="0"/>
          <w:bCs/>
          <w:color w:val="auto"/>
          <w:sz w:val="24"/>
          <w:szCs w:val="24"/>
          <w:lang w:val="en-US" w:eastAsia="zh-CN"/>
        </w:rPr>
        <w:t>的制定与修订事宜，由南京中医药大学学生工作处与资助方通过协商共同确定，</w:t>
      </w: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由学校学生工作处负责解释。</w:t>
      </w:r>
    </w:p>
    <w:p w14:paraId="0E8DBEC3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（2）凡获得正源国医馆季光奖学金者，正源国医馆将优先为其提供学习、就业机会。</w:t>
      </w:r>
    </w:p>
    <w:p w14:paraId="5E11811C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r>
        <w:rPr>
          <w:rFonts w:hint="eastAsia" w:ascii="仿宋" w:hAnsi="仿宋" w:eastAsia="仿宋"/>
          <w:color w:val="auto"/>
          <w:sz w:val="24"/>
          <w:szCs w:val="24"/>
          <w14:ligatures w14:val="none"/>
        </w:rPr>
        <w:t>（3）凡获得正源国医馆季光奖学金者，需参加医馆在学校举办的定期学术交流。</w:t>
      </w:r>
    </w:p>
    <w:p w14:paraId="54E6204E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  <w:bookmarkStart w:id="0" w:name="_GoBack"/>
      <w:bookmarkEnd w:id="0"/>
    </w:p>
    <w:p w14:paraId="6FE39E2B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</w:p>
    <w:p w14:paraId="14408FA7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6AF76D8C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35E89885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21F9D1CD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7E9186A0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070DA718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4DDA5137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145B7457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69CF6A58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3B7DECEC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6B340E28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5EE9E8D2">
      <w:pPr>
        <w:jc w:val="both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 w14:paraId="73534099">
      <w:pPr>
        <w:spacing w:after="0" w:line="410" w:lineRule="exact"/>
        <w:ind w:firstLine="480" w:firstLineChars="200"/>
        <w:jc w:val="both"/>
        <w:rPr>
          <w:rFonts w:hint="eastAsia" w:ascii="仿宋" w:hAnsi="仿宋" w:eastAsia="仿宋"/>
          <w:color w:val="auto"/>
          <w:sz w:val="24"/>
          <w:szCs w:val="24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wOGRmNjg5MzIyOGI2MDVkNjcxMjBhZmI5NGQzYWEifQ=="/>
  </w:docVars>
  <w:rsids>
    <w:rsidRoot w:val="00EB0C8D"/>
    <w:rsid w:val="00051B35"/>
    <w:rsid w:val="00172288"/>
    <w:rsid w:val="00593E1C"/>
    <w:rsid w:val="0092750F"/>
    <w:rsid w:val="009A3779"/>
    <w:rsid w:val="00C72A1B"/>
    <w:rsid w:val="00CF0A75"/>
    <w:rsid w:val="00EB0C8D"/>
    <w:rsid w:val="060A2B37"/>
    <w:rsid w:val="07641AFA"/>
    <w:rsid w:val="08F1695C"/>
    <w:rsid w:val="0A5A3C37"/>
    <w:rsid w:val="0F1042E0"/>
    <w:rsid w:val="2A77613D"/>
    <w:rsid w:val="34D93E71"/>
    <w:rsid w:val="35C83CF1"/>
    <w:rsid w:val="3738640A"/>
    <w:rsid w:val="47EC1AC1"/>
    <w:rsid w:val="4947241E"/>
    <w:rsid w:val="4EFC1217"/>
    <w:rsid w:val="5BF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2041</Words>
  <Characters>2089</Characters>
  <Lines>6</Lines>
  <Paragraphs>1</Paragraphs>
  <TotalTime>0</TotalTime>
  <ScaleCrop>false</ScaleCrop>
  <LinksUpToDate>false</LinksUpToDate>
  <CharactersWithSpaces>2127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2024-09-20T03:42:00Z</dcterms:created>
  <dc:creator>yuan zheng</dc:creator>
  <cp:lastModifiedBy>莫家宝宝</cp:lastModifiedBy>
  <cp:lastPrinted>2025-03-24T08:50:00Z</cp:lastPrinted>
  <dcterms:modified xsi:type="dcterms:W3CDTF">2025-03-26T03:13:45Z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F8D5D1D8BF2842AD8EEB3A9CF8744896_13</vt:lpwstr>
  </property>
  <property fmtid="{D5CDD505-2E9C-101B-9397-08002B2CF9AE}" pid="4" name="KSOTemplateDocerSaveRecord">
    <vt:lpwstr>eyJoZGlkIjoiYWIxYTExYTMxNjM1OTZiYjcxYWZiMmE0MGUxNTgwMGUiLCJ1c2VySWQiOiI1ODQzMjQ1MTYifQ==</vt:lpwstr>
  </property>
</Properties>
</file>