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C5455">
      <w:pPr>
        <w:jc w:val="center"/>
        <w:rPr>
          <w:rFonts w:hint="eastAsia" w:ascii="方正小标宋简体" w:hAnsi="宋体" w:eastAsia="方正小标宋简体" w:cs="Times New Roman"/>
          <w:color w:val="000000"/>
          <w:sz w:val="36"/>
          <w:szCs w:val="36"/>
        </w:rPr>
      </w:pPr>
      <w:r>
        <w:rPr>
          <w:rFonts w:hint="eastAsia" w:ascii="方正小标宋简体" w:hAnsi="宋体" w:eastAsia="方正小标宋简体" w:cs="Times New Roman"/>
          <w:color w:val="000000"/>
          <w:sz w:val="36"/>
          <w:szCs w:val="36"/>
        </w:rPr>
        <w:t>南京中医药大学扬子江奖学金评定细则</w:t>
      </w:r>
    </w:p>
    <w:p w14:paraId="2CCD95C9">
      <w:pPr>
        <w:spacing w:before="312" w:beforeLines="100" w:after="312" w:afterLines="100"/>
        <w:jc w:val="center"/>
        <w:rPr>
          <w:rFonts w:hint="eastAsia" w:ascii="仿宋" w:hAnsi="仿宋" w:eastAsia="仿宋" w:cs="Times New Roman"/>
          <w:b/>
          <w:color w:val="000000"/>
          <w:sz w:val="24"/>
          <w:szCs w:val="24"/>
        </w:rPr>
      </w:pPr>
      <w:r>
        <w:rPr>
          <w:rFonts w:hint="eastAsia" w:ascii="仿宋" w:hAnsi="仿宋" w:eastAsia="仿宋" w:cs="Times New Roman"/>
          <w:b/>
          <w:color w:val="000000"/>
          <w:sz w:val="24"/>
          <w:szCs w:val="24"/>
        </w:rPr>
        <w:t>第一章  总    则</w:t>
      </w:r>
    </w:p>
    <w:p w14:paraId="11CFC719">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第一条</w:t>
      </w:r>
      <w:r>
        <w:rPr>
          <w:rFonts w:hint="eastAsia" w:ascii="仿宋" w:hAnsi="仿宋" w:eastAsia="仿宋"/>
          <w:color w:val="000000"/>
          <w:sz w:val="24"/>
          <w:szCs w:val="24"/>
        </w:rPr>
        <w:t xml:space="preserve">  为进一步支持南京中医药大学医学教育事业的发展，激发全体同学努力学习、奋发成才，促进江苏地区卫生事业的发展，扬子江药业集团有限公司决定在我校设立“扬子江奖学金”奖励和资助我校品学兼优的学生。</w:t>
      </w:r>
    </w:p>
    <w:p w14:paraId="4574ACD1">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第二条</w:t>
      </w:r>
      <w:r>
        <w:rPr>
          <w:rFonts w:hint="eastAsia" w:ascii="仿宋" w:hAnsi="仿宋" w:eastAsia="仿宋"/>
          <w:color w:val="000000"/>
          <w:sz w:val="24"/>
          <w:szCs w:val="24"/>
        </w:rPr>
        <w:t xml:space="preserve">  我校从2015年9月起，设立扬子江奖学金，并根据《关于南京中医药大学设立扬子江奖学金协议书》制定细则。</w:t>
      </w:r>
    </w:p>
    <w:p w14:paraId="23F55FCA">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第三条</w:t>
      </w:r>
      <w:r>
        <w:rPr>
          <w:rFonts w:hint="eastAsia" w:ascii="仿宋" w:hAnsi="仿宋" w:eastAsia="仿宋"/>
          <w:color w:val="000000"/>
          <w:sz w:val="24"/>
          <w:szCs w:val="24"/>
        </w:rPr>
        <w:t xml:space="preserve">  设立扬子江奖学金旨在激励学生勤奋学习，积极上进，立志成才，报效祖国。扬子江奖学金分研究生奖学金和本科生奖学金。</w:t>
      </w:r>
    </w:p>
    <w:p w14:paraId="39957E28">
      <w:pPr>
        <w:spacing w:before="312" w:beforeLines="100" w:after="312" w:afterLines="100"/>
        <w:jc w:val="center"/>
        <w:rPr>
          <w:rFonts w:hint="eastAsia" w:ascii="仿宋" w:hAnsi="仿宋" w:eastAsia="仿宋" w:cs="Times New Roman"/>
          <w:b/>
          <w:color w:val="000000"/>
          <w:sz w:val="24"/>
          <w:szCs w:val="24"/>
        </w:rPr>
      </w:pPr>
      <w:r>
        <w:rPr>
          <w:rFonts w:hint="eastAsia" w:ascii="仿宋" w:hAnsi="仿宋" w:eastAsia="仿宋" w:cs="Times New Roman"/>
          <w:b/>
          <w:color w:val="000000"/>
          <w:sz w:val="24"/>
          <w:szCs w:val="24"/>
        </w:rPr>
        <w:t>第二章  评定机构</w:t>
      </w:r>
    </w:p>
    <w:p w14:paraId="6AEEA19C">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第四条</w:t>
      </w:r>
      <w:r>
        <w:rPr>
          <w:rFonts w:hint="eastAsia" w:ascii="仿宋" w:hAnsi="仿宋" w:eastAsia="仿宋"/>
          <w:color w:val="000000"/>
          <w:sz w:val="24"/>
          <w:szCs w:val="24"/>
        </w:rPr>
        <w:t xml:space="preserve">  学校成立扬子江奖学金评审委员会，负责扬子江奖学金的评定和发放工作。该委员会由我校专家、教授和有关部门的负责人组成，校长担任委员会主任。</w:t>
      </w:r>
    </w:p>
    <w:p w14:paraId="1FB5A8DA">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第五条</w:t>
      </w:r>
      <w:r>
        <w:rPr>
          <w:rFonts w:hint="eastAsia" w:ascii="仿宋" w:hAnsi="仿宋" w:eastAsia="仿宋"/>
          <w:color w:val="000000"/>
          <w:sz w:val="24"/>
          <w:szCs w:val="24"/>
        </w:rPr>
        <w:t xml:space="preserve">  扬子江奖学金评审委员会下设办公室，负责该委员会的日常工作，办公室设在学生工作处。</w:t>
      </w:r>
    </w:p>
    <w:p w14:paraId="637C45C2">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第六条</w:t>
      </w:r>
      <w:r>
        <w:rPr>
          <w:rFonts w:hint="eastAsia" w:ascii="仿宋" w:hAnsi="仿宋" w:eastAsia="仿宋"/>
          <w:color w:val="000000"/>
          <w:sz w:val="24"/>
          <w:szCs w:val="24"/>
        </w:rPr>
        <w:t xml:space="preserve">  党委研工部会同相关部门成立扬子江奖学金评审工作小组。各培养单位成立本单位扬子江奖学金评审小组，由主管研究生工作的领导、研究生管理人员、研究生导师、学生代表等组成，负责组织本单位研究生扬子江奖学金的申请、材料审核、初步评审、公示等工作。工作中坚持平等、公正、回避、保密的原则。</w:t>
      </w:r>
    </w:p>
    <w:p w14:paraId="01D63BF1">
      <w:pPr>
        <w:spacing w:before="312" w:beforeLines="100" w:after="312" w:afterLines="100"/>
        <w:jc w:val="center"/>
        <w:rPr>
          <w:rFonts w:hint="eastAsia" w:ascii="仿宋" w:hAnsi="仿宋" w:eastAsia="仿宋" w:cs="Times New Roman"/>
          <w:b/>
          <w:color w:val="000000"/>
          <w:sz w:val="24"/>
          <w:szCs w:val="24"/>
        </w:rPr>
      </w:pPr>
      <w:r>
        <w:rPr>
          <w:rFonts w:hint="eastAsia" w:ascii="仿宋" w:hAnsi="仿宋" w:eastAsia="仿宋" w:cs="Times New Roman"/>
          <w:b/>
          <w:color w:val="000000"/>
          <w:sz w:val="24"/>
          <w:szCs w:val="24"/>
        </w:rPr>
        <w:t>第三章  评定程序和办法</w:t>
      </w:r>
    </w:p>
    <w:p w14:paraId="1FF2268C">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第七条</w:t>
      </w:r>
      <w:r>
        <w:rPr>
          <w:rFonts w:hint="eastAsia" w:ascii="仿宋" w:hAnsi="仿宋" w:eastAsia="仿宋"/>
          <w:color w:val="000000"/>
          <w:sz w:val="24"/>
          <w:szCs w:val="24"/>
        </w:rPr>
        <w:t xml:space="preserve">  扬子江奖学金评定工作按下列程序进行:</w:t>
      </w:r>
    </w:p>
    <w:p w14:paraId="2BC65FC1">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default" w:ascii="仿宋" w:hAnsi="仿宋" w:eastAsia="仿宋"/>
          <w:color w:val="000000"/>
          <w:sz w:val="24"/>
          <w:szCs w:val="24"/>
          <w:lang w:val="en-US" w:eastAsia="zh-CN"/>
        </w:rPr>
      </w:pPr>
      <w:r>
        <w:rPr>
          <w:rFonts w:hint="default" w:ascii="仿宋" w:hAnsi="仿宋" w:eastAsia="仿宋"/>
          <w:color w:val="000000"/>
          <w:sz w:val="24"/>
          <w:szCs w:val="24"/>
          <w:lang w:val="en-US" w:eastAsia="zh-CN"/>
        </w:rPr>
        <w:t>1</w:t>
      </w:r>
      <w:r>
        <w:rPr>
          <w:rFonts w:hint="eastAsia" w:ascii="仿宋" w:hAnsi="仿宋" w:eastAsia="仿宋"/>
          <w:color w:val="000000"/>
          <w:sz w:val="24"/>
          <w:szCs w:val="24"/>
          <w:lang w:val="en-US" w:eastAsia="zh-CN"/>
        </w:rPr>
        <w:t>.</w:t>
      </w:r>
      <w:r>
        <w:rPr>
          <w:rFonts w:hint="default" w:ascii="仿宋" w:hAnsi="仿宋" w:eastAsia="仿宋"/>
          <w:color w:val="000000"/>
          <w:sz w:val="24"/>
          <w:szCs w:val="24"/>
          <w:lang w:val="en-US" w:eastAsia="zh-CN"/>
        </w:rPr>
        <w:t>学生本人提出书面申请，经研究生导师推荐或班级评议，各培养单位评审小组按照名额分配进行审核；</w:t>
      </w:r>
    </w:p>
    <w:p w14:paraId="60DC934A">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default" w:ascii="仿宋" w:hAnsi="仿宋" w:eastAsia="仿宋"/>
          <w:color w:val="000000"/>
          <w:sz w:val="24"/>
          <w:szCs w:val="24"/>
          <w:lang w:val="en-US" w:eastAsia="zh-CN"/>
        </w:rPr>
      </w:pPr>
      <w:r>
        <w:rPr>
          <w:rFonts w:hint="default" w:ascii="仿宋" w:hAnsi="仿宋" w:eastAsia="仿宋"/>
          <w:color w:val="000000"/>
          <w:sz w:val="24"/>
          <w:szCs w:val="24"/>
          <w:lang w:val="en-US" w:eastAsia="zh-CN"/>
        </w:rPr>
        <w:t>2</w:t>
      </w:r>
      <w:r>
        <w:rPr>
          <w:rFonts w:hint="eastAsia" w:ascii="仿宋" w:hAnsi="仿宋" w:eastAsia="仿宋"/>
          <w:color w:val="000000"/>
          <w:sz w:val="24"/>
          <w:szCs w:val="24"/>
          <w:lang w:val="en-US" w:eastAsia="zh-CN"/>
        </w:rPr>
        <w:t>.</w:t>
      </w:r>
      <w:r>
        <w:rPr>
          <w:rFonts w:hint="default" w:ascii="仿宋" w:hAnsi="仿宋" w:eastAsia="仿宋"/>
          <w:color w:val="000000"/>
          <w:sz w:val="24"/>
          <w:szCs w:val="24"/>
          <w:lang w:val="en-US" w:eastAsia="zh-CN"/>
        </w:rPr>
        <w:t>合格者进行院内公示，通过者填写《南京中医药大学扬子江奖学金审批表》，院长在《审批表》上签署意见后，送校扬子江奖学金评审委员会办公室汇总；</w:t>
      </w:r>
    </w:p>
    <w:p w14:paraId="255EA449">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default" w:ascii="仿宋" w:hAnsi="仿宋" w:eastAsia="仿宋"/>
          <w:color w:val="000000"/>
          <w:sz w:val="24"/>
          <w:szCs w:val="24"/>
          <w:lang w:val="en-US" w:eastAsia="zh-CN"/>
        </w:rPr>
      </w:pPr>
      <w:r>
        <w:rPr>
          <w:rFonts w:hint="default" w:ascii="仿宋" w:hAnsi="仿宋" w:eastAsia="仿宋"/>
          <w:color w:val="000000"/>
          <w:sz w:val="24"/>
          <w:szCs w:val="24"/>
          <w:lang w:val="en-US" w:eastAsia="zh-CN"/>
        </w:rPr>
        <w:t>3</w:t>
      </w:r>
      <w:r>
        <w:rPr>
          <w:rFonts w:hint="eastAsia" w:ascii="仿宋" w:hAnsi="仿宋" w:eastAsia="仿宋"/>
          <w:color w:val="000000"/>
          <w:sz w:val="24"/>
          <w:szCs w:val="24"/>
          <w:lang w:val="en-US" w:eastAsia="zh-CN"/>
        </w:rPr>
        <w:t>.</w:t>
      </w:r>
      <w:r>
        <w:rPr>
          <w:rFonts w:hint="default" w:ascii="仿宋" w:hAnsi="仿宋" w:eastAsia="仿宋"/>
          <w:color w:val="000000"/>
          <w:sz w:val="24"/>
          <w:szCs w:val="24"/>
          <w:lang w:val="en-US" w:eastAsia="zh-CN"/>
        </w:rPr>
        <w:t>校扬子江奖学金评审委员会负责审定工作，在充分讨论的基础上，采取一定的方式进行表决。</w:t>
      </w:r>
    </w:p>
    <w:p w14:paraId="547B83E4">
      <w:pPr>
        <w:spacing w:before="312" w:beforeLines="100" w:after="312" w:afterLines="100"/>
        <w:jc w:val="center"/>
        <w:rPr>
          <w:rFonts w:hint="eastAsia" w:ascii="仿宋" w:hAnsi="仿宋" w:eastAsia="仿宋" w:cs="Times New Roman"/>
          <w:b/>
          <w:color w:val="000000"/>
          <w:sz w:val="24"/>
          <w:szCs w:val="24"/>
        </w:rPr>
      </w:pPr>
      <w:r>
        <w:rPr>
          <w:rFonts w:hint="eastAsia" w:ascii="仿宋" w:hAnsi="仿宋" w:eastAsia="仿宋" w:cs="Times New Roman"/>
          <w:b/>
          <w:color w:val="000000"/>
          <w:sz w:val="24"/>
          <w:szCs w:val="24"/>
        </w:rPr>
        <w:t>第四章  扬子江奖学金</w:t>
      </w:r>
    </w:p>
    <w:p w14:paraId="4AD38731">
      <w:pPr>
        <w:spacing w:before="312" w:beforeLines="100" w:after="312" w:afterLines="100"/>
        <w:jc w:val="center"/>
        <w:rPr>
          <w:rFonts w:hint="eastAsia" w:ascii="仿宋" w:hAnsi="仿宋" w:eastAsia="仿宋" w:cs="Times New Roman"/>
          <w:b/>
          <w:color w:val="000000"/>
          <w:sz w:val="24"/>
          <w:szCs w:val="24"/>
        </w:rPr>
      </w:pPr>
      <w:r>
        <w:rPr>
          <w:rFonts w:hint="eastAsia" w:ascii="仿宋" w:hAnsi="仿宋" w:eastAsia="仿宋" w:cs="Times New Roman"/>
          <w:b/>
          <w:color w:val="000000"/>
          <w:sz w:val="24"/>
          <w:szCs w:val="24"/>
        </w:rPr>
        <w:t>第一节 扬子江研究生奖学金</w:t>
      </w:r>
    </w:p>
    <w:p w14:paraId="4C7C27B8">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第八条</w:t>
      </w:r>
      <w:r>
        <w:rPr>
          <w:rFonts w:hint="eastAsia" w:ascii="仿宋" w:hAnsi="仿宋" w:eastAsia="仿宋"/>
          <w:color w:val="000000"/>
          <w:sz w:val="24"/>
          <w:szCs w:val="24"/>
        </w:rPr>
        <w:t xml:space="preserve"> </w:t>
      </w:r>
      <w:r>
        <w:rPr>
          <w:rFonts w:hint="eastAsia" w:ascii="仿宋" w:hAnsi="仿宋" w:eastAsia="仿宋"/>
          <w:color w:val="000000"/>
          <w:sz w:val="24"/>
          <w:szCs w:val="24"/>
          <w:lang w:val="en-US" w:eastAsia="zh-CN"/>
        </w:rPr>
        <w:t xml:space="preserve"> </w:t>
      </w:r>
      <w:r>
        <w:rPr>
          <w:rFonts w:hint="eastAsia" w:ascii="仿宋" w:hAnsi="仿宋" w:eastAsia="仿宋"/>
          <w:color w:val="000000"/>
          <w:sz w:val="24"/>
          <w:szCs w:val="24"/>
        </w:rPr>
        <w:t>扬子江研究生奖学金共5万元，名额为10名，奖学金标准为每人5000元整。申请对象为我校具有中华人民共和国国籍且纳入全国研究生招生计划的境内全日制博士、硕士研究生，具体指全脱产学习，入学时人事档案、人事关系全部转入我校，且无固定工资收入的研究生。硕博连读、本博连读、直博符合条件的申请对象，根据学习的层次阶段确定身份参与评定。</w:t>
      </w:r>
    </w:p>
    <w:p w14:paraId="3963AE6A">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第九条</w:t>
      </w:r>
      <w:r>
        <w:rPr>
          <w:rFonts w:hint="eastAsia" w:ascii="仿宋" w:hAnsi="仿宋" w:eastAsia="仿宋"/>
          <w:color w:val="000000"/>
          <w:sz w:val="24"/>
          <w:szCs w:val="24"/>
        </w:rPr>
        <w:t xml:space="preserve"> </w:t>
      </w:r>
      <w:r>
        <w:rPr>
          <w:rFonts w:hint="eastAsia" w:ascii="仿宋" w:hAnsi="仿宋" w:eastAsia="仿宋"/>
          <w:color w:val="000000"/>
          <w:sz w:val="24"/>
          <w:szCs w:val="24"/>
          <w:lang w:val="en-US" w:eastAsia="zh-CN"/>
        </w:rPr>
        <w:t xml:space="preserve"> </w:t>
      </w:r>
      <w:r>
        <w:rPr>
          <w:rFonts w:hint="eastAsia" w:ascii="仿宋" w:hAnsi="仿宋" w:eastAsia="仿宋"/>
          <w:color w:val="000000"/>
          <w:sz w:val="24"/>
          <w:szCs w:val="24"/>
        </w:rPr>
        <w:t>评选基本条件</w:t>
      </w:r>
    </w:p>
    <w:p w14:paraId="3D298A95">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1.热爱社会主义祖国，拥护中国共产党的领导。遵守宪法和法律，遵守学校规章制度。诚实守信，道德品质优良；</w:t>
      </w:r>
    </w:p>
    <w:p w14:paraId="48CD998D">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2.学习成绩及学习表现优异，在读期间所有课程无不及格；</w:t>
      </w:r>
    </w:p>
    <w:p w14:paraId="551DD9F3">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3.对学术型研究生，应具有优秀科研创新能力和体现创新能力的科研成果；对专业型研究生，应具备扎实的专业实践能力和适应专业岗位的综合素质；</w:t>
      </w:r>
    </w:p>
    <w:p w14:paraId="4A83AD5F">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4.学术成果显著，发展潜力突出。学术、科研成果须满足以下条件之一：</w:t>
      </w:r>
    </w:p>
    <w:p w14:paraId="350CE867">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（1）以第一作者身份在国内外高影响力学术期刊上发表与专业相关的研究论文；</w:t>
      </w:r>
    </w:p>
    <w:p w14:paraId="0AE14F9D">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（2）主持厅局级以上科研课题，并取得阶段性成果，或科研成果被证明具有较高的学术价值或应用价值；</w:t>
      </w:r>
    </w:p>
    <w:p w14:paraId="7435198F">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（3）在国家二级学会/协会及以上组织的学术会议作口头报告；</w:t>
      </w:r>
    </w:p>
    <w:p w14:paraId="40D25EB5">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（4）积极参加省级及以上研究生论坛、优秀学术论文评选和中国国际大学生创新大赛、“挑战杯”科技创新比赛等比赛并获奖。获得省级及以上三好学生、优秀学生干部、研究生党员标兵等荣誉。</w:t>
      </w:r>
    </w:p>
    <w:p w14:paraId="04A77A9B">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5.身心健康，关心集体，团结协作，积极参加班团组织、党支部、研究生会等学生工作，积极参加校内外各类志愿服务活动、社会实践等，综合素质突出。</w:t>
      </w:r>
    </w:p>
    <w:p w14:paraId="6FA313EE">
      <w:pPr>
        <w:spacing w:before="312" w:beforeLines="100" w:after="312" w:afterLines="100"/>
        <w:jc w:val="center"/>
        <w:rPr>
          <w:rFonts w:hint="eastAsia" w:ascii="仿宋" w:hAnsi="仿宋" w:eastAsia="仿宋"/>
          <w:b/>
          <w:color w:val="000000"/>
          <w:sz w:val="24"/>
          <w:szCs w:val="24"/>
        </w:rPr>
      </w:pPr>
      <w:r>
        <w:rPr>
          <w:rFonts w:hint="eastAsia" w:ascii="仿宋" w:hAnsi="仿宋" w:eastAsia="仿宋"/>
          <w:b/>
          <w:color w:val="000000"/>
          <w:sz w:val="24"/>
          <w:szCs w:val="24"/>
        </w:rPr>
        <w:t>第二节  扬子江本科生奖学金</w:t>
      </w:r>
    </w:p>
    <w:p w14:paraId="7D15AE79">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第十条</w:t>
      </w:r>
      <w:r>
        <w:rPr>
          <w:rFonts w:hint="eastAsia" w:ascii="仿宋" w:hAnsi="仿宋" w:eastAsia="仿宋"/>
          <w:color w:val="000000"/>
          <w:sz w:val="24"/>
          <w:szCs w:val="24"/>
        </w:rPr>
        <w:t xml:space="preserve">  扬子江本科生奖学金共10万元，名额为50名，奖学金标准为每人2000元整。本科生奖学金适用于本校正式注册的全日制在校</w:t>
      </w:r>
      <w:r>
        <w:rPr>
          <w:rFonts w:hint="eastAsia" w:ascii="仿宋" w:hAnsi="仿宋" w:eastAsia="仿宋"/>
          <w:color w:val="000000"/>
          <w:sz w:val="24"/>
          <w:szCs w:val="24"/>
          <w:highlight w:val="yellow"/>
        </w:rPr>
        <w:t>二年级</w:t>
      </w:r>
      <w:r>
        <w:rPr>
          <w:rFonts w:hint="eastAsia" w:ascii="仿宋" w:hAnsi="仿宋" w:eastAsia="仿宋"/>
          <w:color w:val="000000"/>
          <w:sz w:val="24"/>
          <w:szCs w:val="24"/>
        </w:rPr>
        <w:t>及以上本科生。</w:t>
      </w:r>
    </w:p>
    <w:p w14:paraId="576135C9">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第十一条</w:t>
      </w:r>
      <w:r>
        <w:rPr>
          <w:rFonts w:hint="eastAsia" w:ascii="仿宋" w:hAnsi="仿宋" w:eastAsia="仿宋"/>
          <w:color w:val="000000"/>
          <w:sz w:val="24"/>
          <w:szCs w:val="24"/>
        </w:rPr>
        <w:t xml:space="preserve">  符合下列条件者，可申请扬子江本科生奖学金：</w:t>
      </w:r>
    </w:p>
    <w:p w14:paraId="559EC3CB">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1.热爱祖国，遵纪守法、刻苦学习，努力进取，具有良好的道德品行和个人修养；</w:t>
      </w:r>
    </w:p>
    <w:p w14:paraId="7F015A58">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2.当学年学业成绩为同年级同专业前40%；</w:t>
      </w:r>
    </w:p>
    <w:p w14:paraId="358812A6">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3.学习成绩较上一学年有明显进步；</w:t>
      </w:r>
    </w:p>
    <w:p w14:paraId="1AE7C6AC">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4.同等条件下优先考虑家庭经济困难的同学。</w:t>
      </w:r>
    </w:p>
    <w:p w14:paraId="3CC1DE30">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第十二条</w:t>
      </w:r>
      <w:r>
        <w:rPr>
          <w:rFonts w:hint="eastAsia" w:ascii="仿宋" w:hAnsi="仿宋" w:eastAsia="仿宋"/>
          <w:color w:val="000000"/>
          <w:sz w:val="24"/>
          <w:szCs w:val="24"/>
        </w:rPr>
        <w:t xml:space="preserve">  本年度受到校、院通报批评或各类处分者，以及本学年必修课首考成绩中有不及格者，不得申请此奖学金。</w:t>
      </w:r>
      <w:bookmarkStart w:id="0" w:name="_GoBack"/>
      <w:bookmarkEnd w:id="0"/>
    </w:p>
    <w:p w14:paraId="61D9F970">
      <w:pPr>
        <w:keepNext w:val="0"/>
        <w:keepLines w:val="0"/>
        <w:pageBreakBefore w:val="0"/>
        <w:widowControl w:val="0"/>
        <w:kinsoku/>
        <w:wordWrap/>
        <w:overflowPunct/>
        <w:topLinePunct w:val="0"/>
        <w:autoSpaceDE/>
        <w:autoSpaceDN/>
        <w:bidi w:val="0"/>
        <w:adjustRightInd/>
        <w:snapToGrid/>
        <w:spacing w:before="312" w:beforeLines="100" w:after="312" w:afterLines="100" w:line="410" w:lineRule="exact"/>
        <w:jc w:val="center"/>
        <w:textAlignment w:val="auto"/>
        <w:rPr>
          <w:rFonts w:hint="eastAsia" w:ascii="仿宋" w:hAnsi="仿宋" w:eastAsia="仿宋"/>
          <w:b/>
          <w:color w:val="000000"/>
          <w:sz w:val="24"/>
          <w:szCs w:val="24"/>
        </w:rPr>
      </w:pPr>
      <w:r>
        <w:rPr>
          <w:rFonts w:hint="eastAsia" w:ascii="仿宋" w:hAnsi="仿宋" w:eastAsia="仿宋"/>
          <w:b/>
          <w:color w:val="000000"/>
          <w:sz w:val="24"/>
          <w:szCs w:val="24"/>
        </w:rPr>
        <w:t>第六章  附     则</w:t>
      </w:r>
    </w:p>
    <w:p w14:paraId="520EA1EE">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第十三条</w:t>
      </w:r>
      <w:r>
        <w:rPr>
          <w:rFonts w:hint="eastAsia" w:ascii="仿宋" w:hAnsi="仿宋" w:eastAsia="仿宋"/>
          <w:color w:val="000000"/>
          <w:sz w:val="24"/>
          <w:szCs w:val="24"/>
        </w:rPr>
        <w:t xml:space="preserve">  扬子江奖学金评定时间为每年9-10月份。</w:t>
      </w:r>
    </w:p>
    <w:p w14:paraId="36F859DA">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第十四条</w:t>
      </w:r>
      <w:r>
        <w:rPr>
          <w:rFonts w:hint="eastAsia" w:ascii="仿宋" w:hAnsi="仿宋" w:eastAsia="仿宋"/>
          <w:color w:val="000000"/>
          <w:sz w:val="24"/>
          <w:szCs w:val="24"/>
        </w:rPr>
        <w:t xml:space="preserve">  扬子江奖学金的评定是一项十分严肃的工作。各学院应切实加强领导，做到坚持原则，秉公办事；各有关部门要积极配合，以保证朱扬子江奖学金的评定发放工作顺利进行。</w:t>
      </w:r>
    </w:p>
    <w:p w14:paraId="6E2936DA">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第十五条</w:t>
      </w:r>
      <w:r>
        <w:rPr>
          <w:rFonts w:hint="eastAsia" w:ascii="仿宋" w:hAnsi="仿宋" w:eastAsia="仿宋"/>
          <w:color w:val="000000"/>
          <w:sz w:val="24"/>
          <w:szCs w:val="24"/>
        </w:rPr>
        <w:t xml:space="preserve">  对获得扬子江奖学金的学生，学校予以表彰，颁发证书；并按规定标准一次性发放奖学金。</w:t>
      </w:r>
    </w:p>
    <w:p w14:paraId="18F240D4">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第十六条</w:t>
      </w:r>
      <w:r>
        <w:rPr>
          <w:rFonts w:hint="eastAsia" w:ascii="仿宋" w:hAnsi="仿宋" w:eastAsia="仿宋"/>
          <w:color w:val="000000"/>
          <w:sz w:val="24"/>
          <w:szCs w:val="24"/>
        </w:rPr>
        <w:t xml:space="preserve">  本细则中的研究生是指在校入籍的非在职研究生；本科生是指全日制在校入籍学生。</w:t>
      </w:r>
    </w:p>
    <w:p w14:paraId="3AC7673D">
      <w:pPr>
        <w:keepNext w:val="0"/>
        <w:keepLines w:val="0"/>
        <w:pageBreakBefore w:val="0"/>
        <w:widowControl w:val="0"/>
        <w:kinsoku/>
        <w:wordWrap/>
        <w:overflowPunct/>
        <w:topLinePunct w:val="0"/>
        <w:autoSpaceDE/>
        <w:autoSpaceDN/>
        <w:bidi w:val="0"/>
        <w:adjustRightInd/>
        <w:snapToGrid/>
        <w:spacing w:line="410" w:lineRule="exact"/>
        <w:ind w:firstLine="482" w:firstLineChars="200"/>
        <w:jc w:val="both"/>
        <w:textAlignment w:val="auto"/>
        <w:rPr>
          <w:rFonts w:hint="eastAsia" w:ascii="仿宋" w:hAnsi="仿宋" w:eastAsia="仿宋"/>
          <w:color w:val="000000"/>
          <w:sz w:val="24"/>
          <w:szCs w:val="24"/>
        </w:rPr>
      </w:pPr>
      <w:r>
        <w:rPr>
          <w:rFonts w:hint="eastAsia" w:ascii="仿宋" w:hAnsi="仿宋" w:eastAsia="仿宋"/>
          <w:b/>
          <w:color w:val="000000"/>
          <w:sz w:val="24"/>
          <w:szCs w:val="24"/>
        </w:rPr>
        <w:t>第十七条</w:t>
      </w:r>
      <w:r>
        <w:rPr>
          <w:rFonts w:hint="eastAsia" w:ascii="仿宋" w:hAnsi="仿宋" w:eastAsia="仿宋"/>
          <w:color w:val="000000"/>
          <w:sz w:val="24"/>
          <w:szCs w:val="24"/>
        </w:rPr>
        <w:t xml:space="preserve">  本细则解释权在校扬子江奖学金评审委员会。</w:t>
      </w:r>
    </w:p>
    <w:p w14:paraId="314DBC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大黑简体">
    <w:altName w:val="汉仪中黑KW"/>
    <w:panose1 w:val="00000000000000000000"/>
    <w:charset w:val="86"/>
    <w:family w:val="auto"/>
    <w:pitch w:val="default"/>
    <w:sig w:usb0="00000000" w:usb1="00000000" w:usb2="00000010" w:usb3="00000000" w:csb0="00040000" w:csb1="00000000"/>
  </w:font>
  <w:font w:name="方正小标宋简体">
    <w:altName w:val="汉仪书宋二KW"/>
    <w:panose1 w:val="02000000000000000000"/>
    <w:charset w:val="86"/>
    <w:family w:val="script"/>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019E6"/>
    <w:rsid w:val="0000770E"/>
    <w:rsid w:val="0008251D"/>
    <w:rsid w:val="001019E6"/>
    <w:rsid w:val="001311D4"/>
    <w:rsid w:val="00161FA3"/>
    <w:rsid w:val="00224D33"/>
    <w:rsid w:val="00285E50"/>
    <w:rsid w:val="002C2D99"/>
    <w:rsid w:val="00373DD9"/>
    <w:rsid w:val="00392949"/>
    <w:rsid w:val="003A3DAA"/>
    <w:rsid w:val="003D1B28"/>
    <w:rsid w:val="003E0293"/>
    <w:rsid w:val="003E1AA8"/>
    <w:rsid w:val="00412768"/>
    <w:rsid w:val="00436E94"/>
    <w:rsid w:val="00451ADE"/>
    <w:rsid w:val="004C6C39"/>
    <w:rsid w:val="005327BA"/>
    <w:rsid w:val="005334FC"/>
    <w:rsid w:val="00587702"/>
    <w:rsid w:val="005B5CC0"/>
    <w:rsid w:val="005B76DB"/>
    <w:rsid w:val="005C71D5"/>
    <w:rsid w:val="00602522"/>
    <w:rsid w:val="006673CE"/>
    <w:rsid w:val="00675AE8"/>
    <w:rsid w:val="00684AEC"/>
    <w:rsid w:val="00685D3F"/>
    <w:rsid w:val="006A3861"/>
    <w:rsid w:val="006B77F6"/>
    <w:rsid w:val="007077F5"/>
    <w:rsid w:val="00754621"/>
    <w:rsid w:val="007650CD"/>
    <w:rsid w:val="007707B4"/>
    <w:rsid w:val="007C3BF9"/>
    <w:rsid w:val="007E520D"/>
    <w:rsid w:val="0081651C"/>
    <w:rsid w:val="00823F8A"/>
    <w:rsid w:val="00864327"/>
    <w:rsid w:val="00893F08"/>
    <w:rsid w:val="008C1A35"/>
    <w:rsid w:val="008E3974"/>
    <w:rsid w:val="00905181"/>
    <w:rsid w:val="00906E2E"/>
    <w:rsid w:val="0092125C"/>
    <w:rsid w:val="0094223B"/>
    <w:rsid w:val="0099533E"/>
    <w:rsid w:val="009C17AA"/>
    <w:rsid w:val="009E66C7"/>
    <w:rsid w:val="00A32EBC"/>
    <w:rsid w:val="00A50844"/>
    <w:rsid w:val="00A662E8"/>
    <w:rsid w:val="00A83B34"/>
    <w:rsid w:val="00AA77C6"/>
    <w:rsid w:val="00AC4164"/>
    <w:rsid w:val="00AF11AC"/>
    <w:rsid w:val="00B07A5F"/>
    <w:rsid w:val="00B440B7"/>
    <w:rsid w:val="00B56BFE"/>
    <w:rsid w:val="00B75966"/>
    <w:rsid w:val="00C14E58"/>
    <w:rsid w:val="00C56903"/>
    <w:rsid w:val="00C649E6"/>
    <w:rsid w:val="00C65F93"/>
    <w:rsid w:val="00C930B2"/>
    <w:rsid w:val="00CA7938"/>
    <w:rsid w:val="00CB4172"/>
    <w:rsid w:val="00CF7089"/>
    <w:rsid w:val="00D0718A"/>
    <w:rsid w:val="00D22937"/>
    <w:rsid w:val="00D342BE"/>
    <w:rsid w:val="00D353ED"/>
    <w:rsid w:val="00DB44BA"/>
    <w:rsid w:val="00DC6F75"/>
    <w:rsid w:val="00DD0FDE"/>
    <w:rsid w:val="00E411F0"/>
    <w:rsid w:val="00E57C42"/>
    <w:rsid w:val="00E746B4"/>
    <w:rsid w:val="00EA6BD6"/>
    <w:rsid w:val="00ED1F4D"/>
    <w:rsid w:val="00EE533D"/>
    <w:rsid w:val="00EF3797"/>
    <w:rsid w:val="00EF73C7"/>
    <w:rsid w:val="00F0078C"/>
    <w:rsid w:val="00F10C5D"/>
    <w:rsid w:val="00F1672D"/>
    <w:rsid w:val="00F2522A"/>
    <w:rsid w:val="00F65BBA"/>
    <w:rsid w:val="00F70450"/>
    <w:rsid w:val="00FC2F62"/>
    <w:rsid w:val="00FC59EE"/>
    <w:rsid w:val="60E21DE2"/>
    <w:rsid w:val="FF7F9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9"/>
    <w:qFormat/>
    <w:uiPriority w:val="0"/>
    <w:pPr>
      <w:keepNext/>
      <w:keepLines/>
      <w:spacing w:before="340" w:after="330" w:line="576" w:lineRule="auto"/>
      <w:jc w:val="center"/>
      <w:outlineLvl w:val="0"/>
    </w:pPr>
    <w:rPr>
      <w:rFonts w:eastAsia="方正大黑简体"/>
      <w:bCs/>
      <w:kern w:val="44"/>
      <w:sz w:val="28"/>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uiPriority w:val="0"/>
    <w:rPr>
      <w:rFonts w:ascii="宋体" w:hAnsi="Courier New" w:cstheme="minorBidi"/>
      <w:szCs w:val="22"/>
    </w:rPr>
  </w:style>
  <w:style w:type="paragraph" w:styleId="4">
    <w:name w:val="Date"/>
    <w:basedOn w:val="1"/>
    <w:next w:val="1"/>
    <w:link w:val="14"/>
    <w:semiHidden/>
    <w:unhideWhenUsed/>
    <w:uiPriority w:val="99"/>
    <w:pPr>
      <w:ind w:left="100" w:leftChars="2500"/>
    </w:pPr>
  </w:style>
  <w:style w:type="paragraph" w:styleId="5">
    <w:name w:val="footer"/>
    <w:basedOn w:val="1"/>
    <w:link w:val="13"/>
    <w:semiHidden/>
    <w:unhideWhenUsed/>
    <w:uiPriority w:val="99"/>
    <w:pPr>
      <w:tabs>
        <w:tab w:val="center" w:pos="4153"/>
        <w:tab w:val="right" w:pos="8306"/>
      </w:tabs>
      <w:snapToGrid w:val="0"/>
      <w:jc w:val="left"/>
    </w:pPr>
    <w:rPr>
      <w:sz w:val="18"/>
      <w:szCs w:val="18"/>
    </w:rPr>
  </w:style>
  <w:style w:type="paragraph" w:styleId="6">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Char"/>
    <w:basedOn w:val="8"/>
    <w:link w:val="2"/>
    <w:uiPriority w:val="0"/>
    <w:rPr>
      <w:rFonts w:ascii="Times New Roman" w:hAnsi="Times New Roman" w:eastAsia="方正大黑简体" w:cs="Times New Roman"/>
      <w:bCs/>
      <w:kern w:val="44"/>
      <w:sz w:val="28"/>
      <w:szCs w:val="44"/>
    </w:rPr>
  </w:style>
  <w:style w:type="character" w:customStyle="1" w:styleId="10">
    <w:name w:val="纯文本 Char"/>
    <w:basedOn w:val="8"/>
    <w:link w:val="3"/>
    <w:uiPriority w:val="0"/>
    <w:rPr>
      <w:rFonts w:ascii="宋体" w:hAnsi="Courier New" w:eastAsia="宋体"/>
    </w:rPr>
  </w:style>
  <w:style w:type="character" w:customStyle="1" w:styleId="11">
    <w:name w:val="纯文本 Char1"/>
    <w:basedOn w:val="8"/>
    <w:link w:val="3"/>
    <w:semiHidden/>
    <w:uiPriority w:val="99"/>
    <w:rPr>
      <w:rFonts w:ascii="宋体" w:hAnsi="Courier New" w:eastAsia="宋体" w:cs="Courier New"/>
      <w:szCs w:val="21"/>
    </w:rPr>
  </w:style>
  <w:style w:type="character" w:customStyle="1" w:styleId="12">
    <w:name w:val="页眉 Char"/>
    <w:basedOn w:val="8"/>
    <w:link w:val="6"/>
    <w:semiHidden/>
    <w:uiPriority w:val="99"/>
    <w:rPr>
      <w:rFonts w:ascii="Times New Roman" w:hAnsi="Times New Roman" w:eastAsia="宋体" w:cs="Times New Roman"/>
      <w:sz w:val="18"/>
      <w:szCs w:val="18"/>
    </w:rPr>
  </w:style>
  <w:style w:type="character" w:customStyle="1" w:styleId="13">
    <w:name w:val="页脚 Char"/>
    <w:basedOn w:val="8"/>
    <w:link w:val="5"/>
    <w:semiHidden/>
    <w:qFormat/>
    <w:uiPriority w:val="99"/>
    <w:rPr>
      <w:rFonts w:ascii="Times New Roman" w:hAnsi="Times New Roman" w:eastAsia="宋体" w:cs="Times New Roman"/>
      <w:sz w:val="18"/>
      <w:szCs w:val="18"/>
    </w:rPr>
  </w:style>
  <w:style w:type="character" w:customStyle="1" w:styleId="14">
    <w:name w:val="日期 Char"/>
    <w:basedOn w:val="8"/>
    <w:link w:val="4"/>
    <w:semiHidden/>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3</Pages>
  <Words>1377</Words>
  <Characters>1397</Characters>
  <Lines>10</Lines>
  <Paragraphs>2</Paragraphs>
  <TotalTime>1</TotalTime>
  <ScaleCrop>false</ScaleCrop>
  <LinksUpToDate>false</LinksUpToDate>
  <CharactersWithSpaces>1461</CharactersWithSpaces>
  <Application>WPS Office_12.1.23135.23135_F1E327BC-269C-435d-A152-05C5408002CA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2014-02-26T15:48:00Z</dcterms:created>
  <dc:creator>admin</dc:creator>
  <cp:lastModifiedBy>源远</cp:lastModifiedBy>
  <dcterms:modified xsi:type="dcterms:W3CDTF">2025-11-08T09:17:07Z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eyJoZGlkIjoiYWIxYTExYTMxNjM1OTZiYjcxYWZiMmE0MGUxNTgwMGUiLCJ1c2VySWQiOiIxNzE1NDQ0Mjg2In0=</vt:lpwstr>
  </property>
  <property fmtid="{D5CDD505-2E9C-101B-9397-08002B2CF9AE}" pid="3" name="KSOProductBuildVer">
    <vt:lpwstr>2052-12.1.23135.23135</vt:lpwstr>
  </property>
  <property fmtid="{D5CDD505-2E9C-101B-9397-08002B2CF9AE}" pid="4" name="ICV">
    <vt:lpwstr>0230EF1AE4A34C86BE280B759D9AA4AA_12</vt:lpwstr>
  </property>
</Properties>
</file>